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C5EB3" w14:textId="77777777" w:rsidR="00307A50" w:rsidRDefault="00307A50" w:rsidP="00307A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НАКАЗ</w:t>
      </w:r>
    </w:p>
    <w:p w14:paraId="2DD9C18F" w14:textId="77777777" w:rsidR="00307A50" w:rsidRDefault="00307A50" w:rsidP="00307A50">
      <w:pPr>
        <w:spacing w:after="0" w:line="240" w:lineRule="auto"/>
        <w:rPr>
          <w:rFonts w:ascii="Times New Roman" w:hAnsi="Times New Roman" w:cs="Times New Roman"/>
          <w:sz w:val="28"/>
          <w:szCs w:val="28"/>
        </w:rPr>
      </w:pPr>
      <w:r>
        <w:rPr>
          <w:rFonts w:ascii="Times New Roman" w:hAnsi="Times New Roman" w:cs="Times New Roman"/>
          <w:sz w:val="28"/>
          <w:szCs w:val="28"/>
        </w:rPr>
        <w:t>06.2026                                                                                   №</w:t>
      </w:r>
    </w:p>
    <w:p w14:paraId="15E35E33" w14:textId="77777777" w:rsidR="00307A50" w:rsidRDefault="00307A50" w:rsidP="00307A50">
      <w:pPr>
        <w:spacing w:after="0" w:line="240" w:lineRule="auto"/>
        <w:rPr>
          <w:rFonts w:ascii="Times New Roman" w:hAnsi="Times New Roman" w:cs="Times New Roman"/>
          <w:sz w:val="28"/>
          <w:szCs w:val="28"/>
        </w:rPr>
      </w:pPr>
    </w:p>
    <w:p w14:paraId="4EA1766F" w14:textId="77777777" w:rsidR="00CC2CB2" w:rsidRDefault="00CC2CB2" w:rsidP="00307A50">
      <w:pPr>
        <w:spacing w:after="0" w:line="240" w:lineRule="auto"/>
        <w:rPr>
          <w:rFonts w:ascii="Times New Roman" w:hAnsi="Times New Roman" w:cs="Times New Roman"/>
          <w:sz w:val="28"/>
          <w:szCs w:val="28"/>
        </w:rPr>
      </w:pPr>
    </w:p>
    <w:p w14:paraId="23496B19" w14:textId="77777777" w:rsidR="00CC2CB2" w:rsidRDefault="00307A50" w:rsidP="00307A50">
      <w:pPr>
        <w:spacing w:after="0" w:line="240" w:lineRule="auto"/>
        <w:rPr>
          <w:rFonts w:ascii="Times New Roman" w:hAnsi="Times New Roman" w:cs="Times New Roman"/>
          <w:sz w:val="28"/>
          <w:szCs w:val="28"/>
        </w:rPr>
      </w:pPr>
      <w:r w:rsidRPr="00307A50">
        <w:rPr>
          <w:rFonts w:ascii="Times New Roman" w:hAnsi="Times New Roman" w:cs="Times New Roman"/>
          <w:sz w:val="28"/>
          <w:szCs w:val="28"/>
        </w:rPr>
        <w:t>Про підсумки контролю</w:t>
      </w:r>
      <w:r w:rsidR="00CC2CB2">
        <w:rPr>
          <w:rFonts w:ascii="Times New Roman" w:hAnsi="Times New Roman" w:cs="Times New Roman"/>
          <w:sz w:val="28"/>
          <w:szCs w:val="28"/>
        </w:rPr>
        <w:t xml:space="preserve"> </w:t>
      </w:r>
      <w:r w:rsidRPr="00307A50">
        <w:rPr>
          <w:rFonts w:ascii="Times New Roman" w:hAnsi="Times New Roman" w:cs="Times New Roman"/>
          <w:sz w:val="28"/>
          <w:szCs w:val="28"/>
        </w:rPr>
        <w:t xml:space="preserve">за </w:t>
      </w:r>
    </w:p>
    <w:p w14:paraId="529E71B4" w14:textId="77777777" w:rsidR="00CC2CB2" w:rsidRDefault="00307A50" w:rsidP="00307A50">
      <w:pPr>
        <w:spacing w:after="0" w:line="240" w:lineRule="auto"/>
        <w:rPr>
          <w:rFonts w:ascii="Times New Roman" w:hAnsi="Times New Roman" w:cs="Times New Roman"/>
          <w:sz w:val="28"/>
          <w:szCs w:val="28"/>
        </w:rPr>
      </w:pPr>
      <w:r w:rsidRPr="00307A50">
        <w:rPr>
          <w:rFonts w:ascii="Times New Roman" w:hAnsi="Times New Roman" w:cs="Times New Roman"/>
          <w:sz w:val="28"/>
          <w:szCs w:val="28"/>
        </w:rPr>
        <w:t>досягненням учнями</w:t>
      </w:r>
      <w:r w:rsidR="00CC2CB2">
        <w:rPr>
          <w:rFonts w:ascii="Times New Roman" w:hAnsi="Times New Roman" w:cs="Times New Roman"/>
          <w:sz w:val="28"/>
          <w:szCs w:val="28"/>
        </w:rPr>
        <w:t xml:space="preserve"> </w:t>
      </w:r>
      <w:r w:rsidRPr="00307A50">
        <w:rPr>
          <w:rFonts w:ascii="Times New Roman" w:hAnsi="Times New Roman" w:cs="Times New Roman"/>
          <w:sz w:val="28"/>
          <w:szCs w:val="28"/>
        </w:rPr>
        <w:t>результатів</w:t>
      </w:r>
    </w:p>
    <w:p w14:paraId="237CD524" w14:textId="77777777" w:rsidR="00CC2CB2" w:rsidRDefault="00307A50" w:rsidP="00307A50">
      <w:pPr>
        <w:spacing w:after="0" w:line="240" w:lineRule="auto"/>
        <w:rPr>
          <w:rFonts w:ascii="Times New Roman" w:hAnsi="Times New Roman" w:cs="Times New Roman"/>
          <w:sz w:val="28"/>
          <w:szCs w:val="28"/>
        </w:rPr>
      </w:pPr>
      <w:r w:rsidRPr="00307A50">
        <w:rPr>
          <w:rFonts w:ascii="Times New Roman" w:hAnsi="Times New Roman" w:cs="Times New Roman"/>
          <w:sz w:val="28"/>
          <w:szCs w:val="28"/>
        </w:rPr>
        <w:t xml:space="preserve">навчання, визначених державними </w:t>
      </w:r>
    </w:p>
    <w:p w14:paraId="07099C40" w14:textId="77777777" w:rsidR="00307A50" w:rsidRPr="00307A50" w:rsidRDefault="00307A50" w:rsidP="00307A50">
      <w:pPr>
        <w:spacing w:after="0" w:line="240" w:lineRule="auto"/>
        <w:rPr>
          <w:rFonts w:ascii="Times New Roman" w:hAnsi="Times New Roman" w:cs="Times New Roman"/>
          <w:sz w:val="28"/>
          <w:szCs w:val="28"/>
        </w:rPr>
      </w:pPr>
      <w:r w:rsidRPr="00307A50">
        <w:rPr>
          <w:rFonts w:ascii="Times New Roman" w:hAnsi="Times New Roman" w:cs="Times New Roman"/>
          <w:sz w:val="28"/>
          <w:szCs w:val="28"/>
        </w:rPr>
        <w:t xml:space="preserve">стандартами </w:t>
      </w:r>
    </w:p>
    <w:p w14:paraId="16BBF262" w14:textId="77777777" w:rsidR="00307A50" w:rsidRDefault="00307A50" w:rsidP="00307A50">
      <w:pPr>
        <w:spacing w:after="0" w:line="240" w:lineRule="auto"/>
        <w:rPr>
          <w:rFonts w:ascii="Times New Roman" w:hAnsi="Times New Roman" w:cs="Times New Roman"/>
          <w:sz w:val="28"/>
          <w:szCs w:val="28"/>
        </w:rPr>
      </w:pPr>
    </w:p>
    <w:p w14:paraId="434E56BE" w14:textId="77777777" w:rsidR="00CC2CB2" w:rsidRPr="00307A50" w:rsidRDefault="00CC2CB2" w:rsidP="00307A50">
      <w:pPr>
        <w:spacing w:after="0" w:line="240" w:lineRule="auto"/>
        <w:rPr>
          <w:rFonts w:ascii="Times New Roman" w:hAnsi="Times New Roman" w:cs="Times New Roman"/>
          <w:sz w:val="28"/>
          <w:szCs w:val="28"/>
        </w:rPr>
      </w:pPr>
    </w:p>
    <w:p w14:paraId="2F629941" w14:textId="77777777" w:rsidR="009C539D" w:rsidRDefault="00CC2CB2" w:rsidP="009E08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64313">
        <w:rPr>
          <w:rFonts w:ascii="Times New Roman" w:hAnsi="Times New Roman" w:cs="Times New Roman"/>
          <w:sz w:val="28"/>
          <w:szCs w:val="28"/>
        </w:rPr>
        <w:t>На виконання</w:t>
      </w:r>
      <w:r w:rsidR="00307A50" w:rsidRPr="00307A50">
        <w:rPr>
          <w:rFonts w:ascii="Times New Roman" w:hAnsi="Times New Roman" w:cs="Times New Roman"/>
          <w:sz w:val="28"/>
          <w:szCs w:val="28"/>
        </w:rPr>
        <w:t xml:space="preserve"> Законів України «Про освіту», «Про повну загальну середню освіту», </w:t>
      </w:r>
      <w:r w:rsidR="006F74EE" w:rsidRPr="006F74EE">
        <w:rPr>
          <w:rFonts w:ascii="Times New Roman" w:hAnsi="Times New Roman" w:cs="Times New Roman"/>
          <w:sz w:val="28"/>
          <w:szCs w:val="28"/>
        </w:rPr>
        <w:t>Постанови КМУ від 21 лютого 2018 р. №87 «Про затвердження Державного стандарту початкової загальної освіти» (із змінами, внесеними відповідно до постанови КМУ від 24 липня 2019 року №688), Постанови КМУ від 30.09.2020 р №898 «Про деякі питання державних стандартів повної загальної середньої освіти» (із змінами, внесеними згід</w:t>
      </w:r>
      <w:r w:rsidR="00A64313">
        <w:rPr>
          <w:rFonts w:ascii="Times New Roman" w:hAnsi="Times New Roman" w:cs="Times New Roman"/>
          <w:sz w:val="28"/>
          <w:szCs w:val="28"/>
        </w:rPr>
        <w:t>но з Постановою КМ №</w:t>
      </w:r>
      <w:r w:rsidR="006F74EE" w:rsidRPr="006F74EE">
        <w:rPr>
          <w:rFonts w:ascii="Times New Roman" w:hAnsi="Times New Roman" w:cs="Times New Roman"/>
          <w:sz w:val="28"/>
          <w:szCs w:val="28"/>
        </w:rPr>
        <w:t>972 від 30.08.2022), Постанови КМУ від 23 листопада 2011р. №1392 «Про затвердження Державного стандарту базової і повної загальної середньої освіти» (із змінами, внесеними відповідно до постанови КМУ від 07.08.2013р. №538,  від 26.02.2020 № 143),</w:t>
      </w:r>
      <w:r w:rsidR="00A64313" w:rsidRPr="00307A50">
        <w:rPr>
          <w:rFonts w:ascii="Times New Roman" w:hAnsi="Times New Roman" w:cs="Times New Roman"/>
          <w:sz w:val="28"/>
          <w:szCs w:val="28"/>
        </w:rPr>
        <w:t xml:space="preserve"> </w:t>
      </w:r>
      <w:r w:rsidR="009E08C8" w:rsidRPr="009E08C8">
        <w:rPr>
          <w:rFonts w:ascii="Times New Roman" w:hAnsi="Times New Roman" w:cs="Times New Roman"/>
          <w:sz w:val="28"/>
          <w:szCs w:val="28"/>
        </w:rPr>
        <w:t xml:space="preserve">Порядку проведення моніторингу якості освіти, затвердженого наказом Міністерства освіти і науки України від 16 січня 2020 року №54, Положення про внутрішню систему забезпечення якості освіти закладу, затвердженого наказом закладу №104 від 30.12.2020, Положення про порядок проведення внутрішнього моніторингу якості освіти, затвердженого наказом закладу №104 від 30.12.2020, Стратегії розвитку закладу, річного плану роботи та з метою </w:t>
      </w:r>
      <w:r w:rsidR="009C539D" w:rsidRPr="009C539D">
        <w:rPr>
          <w:rFonts w:ascii="Times New Roman" w:hAnsi="Times New Roman" w:cs="Times New Roman"/>
          <w:sz w:val="28"/>
          <w:szCs w:val="28"/>
        </w:rPr>
        <w:t xml:space="preserve">визначення рівня досягнення учнями результатів навчання, відстеження динаміки освітніх досягнень здобувачів освіти, підвищення якості освітнього </w:t>
      </w:r>
      <w:r w:rsidR="009C539D">
        <w:rPr>
          <w:rFonts w:ascii="Times New Roman" w:hAnsi="Times New Roman" w:cs="Times New Roman"/>
          <w:sz w:val="28"/>
          <w:szCs w:val="28"/>
        </w:rPr>
        <w:t>процесу у період з __ по __ 2026</w:t>
      </w:r>
      <w:r w:rsidR="009C539D" w:rsidRPr="009C539D">
        <w:rPr>
          <w:rFonts w:ascii="Times New Roman" w:hAnsi="Times New Roman" w:cs="Times New Roman"/>
          <w:sz w:val="28"/>
          <w:szCs w:val="28"/>
        </w:rPr>
        <w:t xml:space="preserve"> року проведено контроль за досягненням учнями результатів навчання, визначених державними стандартами повної загальної середньої освіти.</w:t>
      </w:r>
    </w:p>
    <w:p w14:paraId="749E3178" w14:textId="77777777" w:rsidR="009E08C8" w:rsidRPr="009E08C8" w:rsidRDefault="00677CF1" w:rsidP="009E08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07A50">
        <w:rPr>
          <w:rFonts w:ascii="Times New Roman" w:hAnsi="Times New Roman" w:cs="Times New Roman"/>
          <w:sz w:val="28"/>
          <w:szCs w:val="28"/>
        </w:rPr>
        <w:t>У ході контролю було проаналізовано результати семестрового та річного оцінювання учнів, стан сформованості ключових компетентностей, наскрізних умінь, рівень навчальних досягнень із предметів освітніх галузей, результати моніторингових досліджень, відвідані навчальні заняття, проведено співбесіди з педагогічними працівниками.</w:t>
      </w:r>
    </w:p>
    <w:p w14:paraId="73DCC725" w14:textId="77777777" w:rsidR="009E463B" w:rsidRPr="009E463B" w:rsidRDefault="009E08C8" w:rsidP="009E463B">
      <w:pPr>
        <w:spacing w:after="0" w:line="240" w:lineRule="auto"/>
        <w:jc w:val="both"/>
        <w:rPr>
          <w:rFonts w:ascii="Times New Roman" w:hAnsi="Times New Roman" w:cs="Times New Roman"/>
          <w:sz w:val="28"/>
          <w:szCs w:val="28"/>
        </w:rPr>
      </w:pPr>
      <w:r w:rsidRPr="009E08C8">
        <w:rPr>
          <w:rFonts w:ascii="Times New Roman" w:hAnsi="Times New Roman" w:cs="Times New Roman"/>
          <w:sz w:val="28"/>
          <w:szCs w:val="28"/>
        </w:rPr>
        <w:tab/>
      </w:r>
      <w:r w:rsidR="00307A50" w:rsidRPr="00307A50">
        <w:rPr>
          <w:rFonts w:ascii="Times New Roman" w:hAnsi="Times New Roman" w:cs="Times New Roman"/>
          <w:sz w:val="28"/>
          <w:szCs w:val="28"/>
        </w:rPr>
        <w:t xml:space="preserve">За результатами </w:t>
      </w:r>
      <w:r w:rsidR="004801C6">
        <w:rPr>
          <w:rFonts w:ascii="Times New Roman" w:hAnsi="Times New Roman" w:cs="Times New Roman"/>
          <w:sz w:val="28"/>
          <w:szCs w:val="28"/>
        </w:rPr>
        <w:t xml:space="preserve">контролю встановлено, що </w:t>
      </w:r>
      <w:r w:rsidR="00307A50" w:rsidRPr="00307A50">
        <w:rPr>
          <w:rFonts w:ascii="Times New Roman" w:hAnsi="Times New Roman" w:cs="Times New Roman"/>
          <w:sz w:val="28"/>
          <w:szCs w:val="28"/>
        </w:rPr>
        <w:t>світній процес у закладі здійснюється відповідно до вимог чинного зак</w:t>
      </w:r>
      <w:r w:rsidR="004801C6">
        <w:rPr>
          <w:rFonts w:ascii="Times New Roman" w:hAnsi="Times New Roman" w:cs="Times New Roman"/>
          <w:sz w:val="28"/>
          <w:szCs w:val="28"/>
        </w:rPr>
        <w:t xml:space="preserve">онодавства та освітніх програм. </w:t>
      </w:r>
      <w:r w:rsidR="00B0079B" w:rsidRPr="007C7E71">
        <w:rPr>
          <w:rFonts w:ascii="Times New Roman" w:hAnsi="Times New Roman" w:cs="Times New Roman"/>
          <w:sz w:val="28"/>
          <w:szCs w:val="28"/>
        </w:rPr>
        <w:t>Учителі закладу в цілому забезпечують реалізацію компетентнісного підходу, використову</w:t>
      </w:r>
      <w:r w:rsidR="00B0079B">
        <w:rPr>
          <w:rFonts w:ascii="Times New Roman" w:hAnsi="Times New Roman" w:cs="Times New Roman"/>
          <w:sz w:val="28"/>
          <w:szCs w:val="28"/>
        </w:rPr>
        <w:t xml:space="preserve">ють сучасні освітні технології. </w:t>
      </w:r>
      <w:r w:rsidR="00307A50" w:rsidRPr="00307A50">
        <w:rPr>
          <w:rFonts w:ascii="Times New Roman" w:hAnsi="Times New Roman" w:cs="Times New Roman"/>
          <w:sz w:val="28"/>
          <w:szCs w:val="28"/>
        </w:rPr>
        <w:t xml:space="preserve">Переважна більшість учнів досягає обов'язкових результатів навчання, визначених державними стандартами. Учні демонструють </w:t>
      </w:r>
      <w:r w:rsidR="004801C6">
        <w:rPr>
          <w:rFonts w:ascii="Times New Roman" w:hAnsi="Times New Roman" w:cs="Times New Roman"/>
          <w:sz w:val="28"/>
          <w:szCs w:val="28"/>
        </w:rPr>
        <w:t xml:space="preserve">задовільний </w:t>
      </w:r>
      <w:r w:rsidR="00307A50" w:rsidRPr="00307A50">
        <w:rPr>
          <w:rFonts w:ascii="Times New Roman" w:hAnsi="Times New Roman" w:cs="Times New Roman"/>
          <w:sz w:val="28"/>
          <w:szCs w:val="28"/>
        </w:rPr>
        <w:t>рівень сформованості предметних компетентностей, умінь працювати з інформацією, критично мислити, застосовувати</w:t>
      </w:r>
      <w:r w:rsidR="004801C6">
        <w:rPr>
          <w:rFonts w:ascii="Times New Roman" w:hAnsi="Times New Roman" w:cs="Times New Roman"/>
          <w:sz w:val="28"/>
          <w:szCs w:val="28"/>
        </w:rPr>
        <w:t xml:space="preserve"> знання у практичних ситуаціях. </w:t>
      </w:r>
      <w:r w:rsidR="009E463B" w:rsidRPr="009E463B">
        <w:rPr>
          <w:rFonts w:ascii="Times New Roman" w:hAnsi="Times New Roman" w:cs="Times New Roman"/>
          <w:sz w:val="28"/>
          <w:szCs w:val="28"/>
        </w:rPr>
        <w:t>Аналіз результатів навчання свідчить про позитивну динаміку в розвитку таких компетентностей:</w:t>
      </w:r>
    </w:p>
    <w:p w14:paraId="77D0CEB3" w14:textId="77777777" w:rsidR="009E463B" w:rsidRPr="009E463B" w:rsidRDefault="009E463B" w:rsidP="009E463B">
      <w:pPr>
        <w:spacing w:after="0" w:line="240" w:lineRule="auto"/>
        <w:jc w:val="both"/>
        <w:rPr>
          <w:rFonts w:ascii="Times New Roman" w:hAnsi="Times New Roman" w:cs="Times New Roman"/>
          <w:sz w:val="28"/>
          <w:szCs w:val="28"/>
        </w:rPr>
      </w:pPr>
      <w:r w:rsidRPr="009E463B">
        <w:rPr>
          <w:rFonts w:ascii="Times New Roman" w:hAnsi="Times New Roman" w:cs="Times New Roman"/>
          <w:sz w:val="28"/>
          <w:szCs w:val="28"/>
        </w:rPr>
        <w:t>вільне володіння державною мовою;</w:t>
      </w:r>
    </w:p>
    <w:p w14:paraId="20969766" w14:textId="77777777" w:rsidR="009E463B" w:rsidRPr="009E463B" w:rsidRDefault="009E463B" w:rsidP="009E463B">
      <w:pPr>
        <w:spacing w:after="0" w:line="240" w:lineRule="auto"/>
        <w:jc w:val="both"/>
        <w:rPr>
          <w:rFonts w:ascii="Times New Roman" w:hAnsi="Times New Roman" w:cs="Times New Roman"/>
          <w:sz w:val="28"/>
          <w:szCs w:val="28"/>
        </w:rPr>
      </w:pPr>
      <w:r w:rsidRPr="009E463B">
        <w:rPr>
          <w:rFonts w:ascii="Times New Roman" w:hAnsi="Times New Roman" w:cs="Times New Roman"/>
          <w:sz w:val="28"/>
          <w:szCs w:val="28"/>
        </w:rPr>
        <w:t>математична компетентність;</w:t>
      </w:r>
    </w:p>
    <w:p w14:paraId="4C3AECF6" w14:textId="77777777" w:rsidR="009E463B" w:rsidRPr="009E463B" w:rsidRDefault="009E463B" w:rsidP="009E463B">
      <w:pPr>
        <w:spacing w:after="0" w:line="240" w:lineRule="auto"/>
        <w:jc w:val="both"/>
        <w:rPr>
          <w:rFonts w:ascii="Times New Roman" w:hAnsi="Times New Roman" w:cs="Times New Roman"/>
          <w:sz w:val="28"/>
          <w:szCs w:val="28"/>
        </w:rPr>
      </w:pPr>
      <w:r w:rsidRPr="009E463B">
        <w:rPr>
          <w:rFonts w:ascii="Times New Roman" w:hAnsi="Times New Roman" w:cs="Times New Roman"/>
          <w:sz w:val="28"/>
          <w:szCs w:val="28"/>
        </w:rPr>
        <w:t>інформаційно-комунікаційна компетентність;</w:t>
      </w:r>
    </w:p>
    <w:p w14:paraId="0BA16918" w14:textId="77777777" w:rsidR="009E463B" w:rsidRPr="009E463B" w:rsidRDefault="009E463B" w:rsidP="009E463B">
      <w:pPr>
        <w:spacing w:after="0" w:line="240" w:lineRule="auto"/>
        <w:jc w:val="both"/>
        <w:rPr>
          <w:rFonts w:ascii="Times New Roman" w:hAnsi="Times New Roman" w:cs="Times New Roman"/>
          <w:sz w:val="28"/>
          <w:szCs w:val="28"/>
        </w:rPr>
      </w:pPr>
      <w:r w:rsidRPr="009E463B">
        <w:rPr>
          <w:rFonts w:ascii="Times New Roman" w:hAnsi="Times New Roman" w:cs="Times New Roman"/>
          <w:sz w:val="28"/>
          <w:szCs w:val="28"/>
        </w:rPr>
        <w:lastRenderedPageBreak/>
        <w:t>громадянські та соціальні компетентності;</w:t>
      </w:r>
    </w:p>
    <w:p w14:paraId="4A497B62" w14:textId="77777777" w:rsidR="007C7E71" w:rsidRDefault="009E463B" w:rsidP="009E463B">
      <w:pPr>
        <w:spacing w:after="0" w:line="240" w:lineRule="auto"/>
        <w:jc w:val="both"/>
      </w:pPr>
      <w:r w:rsidRPr="009E463B">
        <w:rPr>
          <w:rFonts w:ascii="Times New Roman" w:hAnsi="Times New Roman" w:cs="Times New Roman"/>
          <w:sz w:val="28"/>
          <w:szCs w:val="28"/>
        </w:rPr>
        <w:t>уміння вчитися впродовж життя.</w:t>
      </w:r>
      <w:r w:rsidR="007C7E71" w:rsidRPr="007C7E71">
        <w:t xml:space="preserve"> </w:t>
      </w:r>
    </w:p>
    <w:p w14:paraId="000F4B40" w14:textId="77777777" w:rsidR="004642C5" w:rsidRDefault="007C7E71" w:rsidP="004642C5">
      <w:pPr>
        <w:spacing w:after="0" w:line="240" w:lineRule="auto"/>
        <w:jc w:val="both"/>
        <w:rPr>
          <w:rFonts w:ascii="Times New Roman" w:hAnsi="Times New Roman" w:cs="Times New Roman"/>
          <w:sz w:val="28"/>
          <w:szCs w:val="28"/>
        </w:rPr>
      </w:pPr>
      <w:r>
        <w:tab/>
      </w:r>
      <w:r w:rsidR="004642C5">
        <w:rPr>
          <w:rFonts w:ascii="Times New Roman" w:hAnsi="Times New Roman" w:cs="Times New Roman"/>
          <w:sz w:val="28"/>
          <w:szCs w:val="28"/>
        </w:rPr>
        <w:t>Результати навчання учнів за  2025/2026 навчальний рік:</w:t>
      </w:r>
    </w:p>
    <w:tbl>
      <w:tblPr>
        <w:tblStyle w:val="a3"/>
        <w:tblW w:w="9776" w:type="dxa"/>
        <w:tblInd w:w="0" w:type="dxa"/>
        <w:tblLook w:val="04A0" w:firstRow="1" w:lastRow="0" w:firstColumn="1" w:lastColumn="0" w:noHBand="0" w:noVBand="1"/>
      </w:tblPr>
      <w:tblGrid>
        <w:gridCol w:w="921"/>
        <w:gridCol w:w="1315"/>
        <w:gridCol w:w="1488"/>
        <w:gridCol w:w="1377"/>
        <w:gridCol w:w="1735"/>
        <w:gridCol w:w="1383"/>
        <w:gridCol w:w="1557"/>
      </w:tblGrid>
      <w:tr w:rsidR="00732127" w14:paraId="794E7BCA" w14:textId="77777777" w:rsidTr="00732127">
        <w:trPr>
          <w:trHeight w:val="649"/>
        </w:trPr>
        <w:tc>
          <w:tcPr>
            <w:tcW w:w="921" w:type="dxa"/>
            <w:tcBorders>
              <w:top w:val="single" w:sz="4" w:space="0" w:color="auto"/>
              <w:left w:val="single" w:sz="4" w:space="0" w:color="auto"/>
              <w:bottom w:val="single" w:sz="4" w:space="0" w:color="auto"/>
              <w:right w:val="single" w:sz="4" w:space="0" w:color="auto"/>
            </w:tcBorders>
            <w:hideMark/>
          </w:tcPr>
          <w:p w14:paraId="65C69843" w14:textId="71C87FDD"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Клас</w:t>
            </w:r>
          </w:p>
        </w:tc>
        <w:tc>
          <w:tcPr>
            <w:tcW w:w="1315" w:type="dxa"/>
            <w:tcBorders>
              <w:top w:val="single" w:sz="4" w:space="0" w:color="auto"/>
              <w:left w:val="single" w:sz="4" w:space="0" w:color="auto"/>
              <w:bottom w:val="single" w:sz="4" w:space="0" w:color="auto"/>
              <w:right w:val="single" w:sz="4" w:space="0" w:color="auto"/>
            </w:tcBorders>
            <w:hideMark/>
          </w:tcPr>
          <w:p w14:paraId="0ECC1D28" w14:textId="6C6FB906"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Високий рівень, %</w:t>
            </w:r>
          </w:p>
        </w:tc>
        <w:tc>
          <w:tcPr>
            <w:tcW w:w="1488" w:type="dxa"/>
            <w:tcBorders>
              <w:top w:val="single" w:sz="4" w:space="0" w:color="auto"/>
              <w:left w:val="single" w:sz="4" w:space="0" w:color="auto"/>
              <w:bottom w:val="single" w:sz="4" w:space="0" w:color="auto"/>
              <w:right w:val="single" w:sz="4" w:space="0" w:color="auto"/>
            </w:tcBorders>
            <w:hideMark/>
          </w:tcPr>
          <w:p w14:paraId="47874E57" w14:textId="257F7197"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Достатній рівень, %</w:t>
            </w:r>
          </w:p>
        </w:tc>
        <w:tc>
          <w:tcPr>
            <w:tcW w:w="1377" w:type="dxa"/>
            <w:tcBorders>
              <w:top w:val="single" w:sz="4" w:space="0" w:color="auto"/>
              <w:left w:val="single" w:sz="4" w:space="0" w:color="auto"/>
              <w:bottom w:val="single" w:sz="4" w:space="0" w:color="auto"/>
              <w:right w:val="single" w:sz="4" w:space="0" w:color="auto"/>
            </w:tcBorders>
            <w:hideMark/>
          </w:tcPr>
          <w:p w14:paraId="2CD52C09" w14:textId="0DB85679"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Середній рівень, %</w:t>
            </w:r>
          </w:p>
        </w:tc>
        <w:tc>
          <w:tcPr>
            <w:tcW w:w="1735" w:type="dxa"/>
            <w:tcBorders>
              <w:top w:val="single" w:sz="4" w:space="0" w:color="auto"/>
              <w:left w:val="single" w:sz="4" w:space="0" w:color="auto"/>
              <w:bottom w:val="single" w:sz="4" w:space="0" w:color="auto"/>
              <w:right w:val="single" w:sz="4" w:space="0" w:color="auto"/>
            </w:tcBorders>
            <w:hideMark/>
          </w:tcPr>
          <w:p w14:paraId="0907133D" w14:textId="12E89B50"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Початковий рівень, %</w:t>
            </w:r>
          </w:p>
        </w:tc>
        <w:tc>
          <w:tcPr>
            <w:tcW w:w="1383" w:type="dxa"/>
            <w:tcBorders>
              <w:top w:val="single" w:sz="4" w:space="0" w:color="auto"/>
              <w:left w:val="single" w:sz="4" w:space="0" w:color="auto"/>
              <w:bottom w:val="single" w:sz="4" w:space="0" w:color="auto"/>
              <w:right w:val="single" w:sz="4" w:space="0" w:color="auto"/>
            </w:tcBorders>
            <w:hideMark/>
          </w:tcPr>
          <w:p w14:paraId="6F79C6F3" w14:textId="5926F651"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Якісний показник, %</w:t>
            </w:r>
          </w:p>
        </w:tc>
        <w:tc>
          <w:tcPr>
            <w:tcW w:w="1557" w:type="dxa"/>
            <w:tcBorders>
              <w:top w:val="single" w:sz="4" w:space="0" w:color="auto"/>
              <w:left w:val="single" w:sz="4" w:space="0" w:color="auto"/>
              <w:bottom w:val="single" w:sz="4" w:space="0" w:color="auto"/>
              <w:right w:val="single" w:sz="4" w:space="0" w:color="auto"/>
            </w:tcBorders>
            <w:hideMark/>
          </w:tcPr>
          <w:p w14:paraId="2DD25688" w14:textId="7621DA82"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Динаміка у порівнянні з І семестром</w:t>
            </w:r>
          </w:p>
        </w:tc>
      </w:tr>
      <w:tr w:rsidR="00732127" w14:paraId="72EFB22B" w14:textId="77777777" w:rsidTr="00732127">
        <w:trPr>
          <w:trHeight w:val="70"/>
        </w:trPr>
        <w:tc>
          <w:tcPr>
            <w:tcW w:w="921" w:type="dxa"/>
            <w:tcBorders>
              <w:top w:val="single" w:sz="4" w:space="0" w:color="auto"/>
              <w:left w:val="single" w:sz="4" w:space="0" w:color="auto"/>
              <w:bottom w:val="single" w:sz="4" w:space="0" w:color="auto"/>
              <w:right w:val="single" w:sz="4" w:space="0" w:color="auto"/>
            </w:tcBorders>
            <w:hideMark/>
          </w:tcPr>
          <w:p w14:paraId="52EFF329" w14:textId="2BCF10D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5</w:t>
            </w:r>
          </w:p>
        </w:tc>
        <w:tc>
          <w:tcPr>
            <w:tcW w:w="1315" w:type="dxa"/>
            <w:tcBorders>
              <w:top w:val="single" w:sz="4" w:space="0" w:color="auto"/>
              <w:left w:val="single" w:sz="4" w:space="0" w:color="auto"/>
              <w:bottom w:val="single" w:sz="4" w:space="0" w:color="auto"/>
              <w:right w:val="single" w:sz="4" w:space="0" w:color="auto"/>
            </w:tcBorders>
          </w:tcPr>
          <w:p w14:paraId="5A50529F" w14:textId="41C640E1"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42</w:t>
            </w:r>
          </w:p>
        </w:tc>
        <w:tc>
          <w:tcPr>
            <w:tcW w:w="1488" w:type="dxa"/>
            <w:tcBorders>
              <w:top w:val="single" w:sz="4" w:space="0" w:color="auto"/>
              <w:left w:val="single" w:sz="4" w:space="0" w:color="auto"/>
              <w:bottom w:val="single" w:sz="4" w:space="0" w:color="auto"/>
              <w:right w:val="single" w:sz="4" w:space="0" w:color="auto"/>
            </w:tcBorders>
          </w:tcPr>
          <w:p w14:paraId="567E78B9" w14:textId="6DB3CEB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38</w:t>
            </w:r>
          </w:p>
        </w:tc>
        <w:tc>
          <w:tcPr>
            <w:tcW w:w="1377" w:type="dxa"/>
            <w:tcBorders>
              <w:top w:val="single" w:sz="4" w:space="0" w:color="auto"/>
              <w:left w:val="single" w:sz="4" w:space="0" w:color="auto"/>
              <w:bottom w:val="single" w:sz="4" w:space="0" w:color="auto"/>
              <w:right w:val="single" w:sz="4" w:space="0" w:color="auto"/>
            </w:tcBorders>
          </w:tcPr>
          <w:p w14:paraId="4CEA3EAD" w14:textId="260EB15B"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20</w:t>
            </w:r>
          </w:p>
        </w:tc>
        <w:tc>
          <w:tcPr>
            <w:tcW w:w="1735" w:type="dxa"/>
            <w:tcBorders>
              <w:top w:val="single" w:sz="4" w:space="0" w:color="auto"/>
              <w:left w:val="single" w:sz="4" w:space="0" w:color="auto"/>
              <w:bottom w:val="single" w:sz="4" w:space="0" w:color="auto"/>
              <w:right w:val="single" w:sz="4" w:space="0" w:color="auto"/>
            </w:tcBorders>
          </w:tcPr>
          <w:p w14:paraId="51735B26" w14:textId="1CB6A63C"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0</w:t>
            </w:r>
          </w:p>
        </w:tc>
        <w:tc>
          <w:tcPr>
            <w:tcW w:w="1383" w:type="dxa"/>
            <w:tcBorders>
              <w:top w:val="single" w:sz="4" w:space="0" w:color="auto"/>
              <w:left w:val="single" w:sz="4" w:space="0" w:color="auto"/>
              <w:bottom w:val="single" w:sz="4" w:space="0" w:color="auto"/>
              <w:right w:val="single" w:sz="4" w:space="0" w:color="auto"/>
            </w:tcBorders>
          </w:tcPr>
          <w:p w14:paraId="517C94A6" w14:textId="26140BC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80</w:t>
            </w:r>
          </w:p>
        </w:tc>
        <w:tc>
          <w:tcPr>
            <w:tcW w:w="1557" w:type="dxa"/>
            <w:tcBorders>
              <w:top w:val="single" w:sz="4" w:space="0" w:color="auto"/>
              <w:left w:val="single" w:sz="4" w:space="0" w:color="auto"/>
              <w:bottom w:val="single" w:sz="4" w:space="0" w:color="auto"/>
              <w:right w:val="single" w:sz="4" w:space="0" w:color="auto"/>
            </w:tcBorders>
          </w:tcPr>
          <w:p w14:paraId="335F87F6" w14:textId="6A14FC80"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позитивна</w:t>
            </w:r>
          </w:p>
        </w:tc>
      </w:tr>
      <w:tr w:rsidR="00732127" w14:paraId="5CDBCA00" w14:textId="77777777" w:rsidTr="00732127">
        <w:trPr>
          <w:trHeight w:val="70"/>
        </w:trPr>
        <w:tc>
          <w:tcPr>
            <w:tcW w:w="921" w:type="dxa"/>
            <w:tcBorders>
              <w:top w:val="single" w:sz="4" w:space="0" w:color="auto"/>
              <w:left w:val="single" w:sz="4" w:space="0" w:color="auto"/>
              <w:bottom w:val="single" w:sz="4" w:space="0" w:color="auto"/>
              <w:right w:val="single" w:sz="4" w:space="0" w:color="auto"/>
            </w:tcBorders>
            <w:hideMark/>
          </w:tcPr>
          <w:p w14:paraId="70931899" w14:textId="097A39D5"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6</w:t>
            </w:r>
          </w:p>
        </w:tc>
        <w:tc>
          <w:tcPr>
            <w:tcW w:w="1315" w:type="dxa"/>
            <w:tcBorders>
              <w:top w:val="single" w:sz="4" w:space="0" w:color="auto"/>
              <w:left w:val="single" w:sz="4" w:space="0" w:color="auto"/>
              <w:bottom w:val="single" w:sz="4" w:space="0" w:color="auto"/>
              <w:right w:val="single" w:sz="4" w:space="0" w:color="auto"/>
            </w:tcBorders>
          </w:tcPr>
          <w:p w14:paraId="5623A4E2" w14:textId="31095F78"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44</w:t>
            </w:r>
          </w:p>
        </w:tc>
        <w:tc>
          <w:tcPr>
            <w:tcW w:w="1488" w:type="dxa"/>
            <w:tcBorders>
              <w:top w:val="single" w:sz="4" w:space="0" w:color="auto"/>
              <w:left w:val="single" w:sz="4" w:space="0" w:color="auto"/>
              <w:bottom w:val="single" w:sz="4" w:space="0" w:color="auto"/>
              <w:right w:val="single" w:sz="4" w:space="0" w:color="auto"/>
            </w:tcBorders>
          </w:tcPr>
          <w:p w14:paraId="30796352" w14:textId="4FA0562F"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40</w:t>
            </w:r>
          </w:p>
        </w:tc>
        <w:tc>
          <w:tcPr>
            <w:tcW w:w="1377" w:type="dxa"/>
            <w:tcBorders>
              <w:top w:val="single" w:sz="4" w:space="0" w:color="auto"/>
              <w:left w:val="single" w:sz="4" w:space="0" w:color="auto"/>
              <w:bottom w:val="single" w:sz="4" w:space="0" w:color="auto"/>
              <w:right w:val="single" w:sz="4" w:space="0" w:color="auto"/>
            </w:tcBorders>
          </w:tcPr>
          <w:p w14:paraId="3BE405E0" w14:textId="55172FE0"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16</w:t>
            </w:r>
          </w:p>
        </w:tc>
        <w:tc>
          <w:tcPr>
            <w:tcW w:w="1735" w:type="dxa"/>
            <w:tcBorders>
              <w:top w:val="single" w:sz="4" w:space="0" w:color="auto"/>
              <w:left w:val="single" w:sz="4" w:space="0" w:color="auto"/>
              <w:bottom w:val="single" w:sz="4" w:space="0" w:color="auto"/>
              <w:right w:val="single" w:sz="4" w:space="0" w:color="auto"/>
            </w:tcBorders>
          </w:tcPr>
          <w:p w14:paraId="35C227FC" w14:textId="7594864E"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0</w:t>
            </w:r>
          </w:p>
        </w:tc>
        <w:tc>
          <w:tcPr>
            <w:tcW w:w="1383" w:type="dxa"/>
            <w:tcBorders>
              <w:top w:val="single" w:sz="4" w:space="0" w:color="auto"/>
              <w:left w:val="single" w:sz="4" w:space="0" w:color="auto"/>
              <w:bottom w:val="single" w:sz="4" w:space="0" w:color="auto"/>
              <w:right w:val="single" w:sz="4" w:space="0" w:color="auto"/>
            </w:tcBorders>
          </w:tcPr>
          <w:p w14:paraId="7484BE91" w14:textId="5DF147AF"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84</w:t>
            </w:r>
          </w:p>
        </w:tc>
        <w:tc>
          <w:tcPr>
            <w:tcW w:w="1557" w:type="dxa"/>
            <w:tcBorders>
              <w:top w:val="single" w:sz="4" w:space="0" w:color="auto"/>
              <w:left w:val="single" w:sz="4" w:space="0" w:color="auto"/>
              <w:bottom w:val="single" w:sz="4" w:space="0" w:color="auto"/>
              <w:right w:val="single" w:sz="4" w:space="0" w:color="auto"/>
            </w:tcBorders>
          </w:tcPr>
          <w:p w14:paraId="238FC095" w14:textId="0C57ED67"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позитивна</w:t>
            </w:r>
          </w:p>
        </w:tc>
      </w:tr>
      <w:tr w:rsidR="00732127" w14:paraId="30DA7B62" w14:textId="77777777" w:rsidTr="00732127">
        <w:trPr>
          <w:trHeight w:val="70"/>
        </w:trPr>
        <w:tc>
          <w:tcPr>
            <w:tcW w:w="921" w:type="dxa"/>
            <w:tcBorders>
              <w:top w:val="single" w:sz="4" w:space="0" w:color="auto"/>
              <w:left w:val="single" w:sz="4" w:space="0" w:color="auto"/>
              <w:bottom w:val="single" w:sz="4" w:space="0" w:color="auto"/>
              <w:right w:val="single" w:sz="4" w:space="0" w:color="auto"/>
            </w:tcBorders>
            <w:hideMark/>
          </w:tcPr>
          <w:p w14:paraId="76E152D7" w14:textId="101F2A3C"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7</w:t>
            </w:r>
          </w:p>
        </w:tc>
        <w:tc>
          <w:tcPr>
            <w:tcW w:w="1315" w:type="dxa"/>
            <w:tcBorders>
              <w:top w:val="single" w:sz="4" w:space="0" w:color="auto"/>
              <w:left w:val="single" w:sz="4" w:space="0" w:color="auto"/>
              <w:bottom w:val="single" w:sz="4" w:space="0" w:color="auto"/>
              <w:right w:val="single" w:sz="4" w:space="0" w:color="auto"/>
            </w:tcBorders>
          </w:tcPr>
          <w:p w14:paraId="3D33F113" w14:textId="16A40C3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45</w:t>
            </w:r>
          </w:p>
        </w:tc>
        <w:tc>
          <w:tcPr>
            <w:tcW w:w="1488" w:type="dxa"/>
            <w:tcBorders>
              <w:top w:val="single" w:sz="4" w:space="0" w:color="auto"/>
              <w:left w:val="single" w:sz="4" w:space="0" w:color="auto"/>
              <w:bottom w:val="single" w:sz="4" w:space="0" w:color="auto"/>
              <w:right w:val="single" w:sz="4" w:space="0" w:color="auto"/>
            </w:tcBorders>
          </w:tcPr>
          <w:p w14:paraId="0CB44032" w14:textId="2E75CB0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35</w:t>
            </w:r>
          </w:p>
        </w:tc>
        <w:tc>
          <w:tcPr>
            <w:tcW w:w="1377" w:type="dxa"/>
            <w:tcBorders>
              <w:top w:val="single" w:sz="4" w:space="0" w:color="auto"/>
              <w:left w:val="single" w:sz="4" w:space="0" w:color="auto"/>
              <w:bottom w:val="single" w:sz="4" w:space="0" w:color="auto"/>
              <w:right w:val="single" w:sz="4" w:space="0" w:color="auto"/>
            </w:tcBorders>
          </w:tcPr>
          <w:p w14:paraId="7A0F6CEB" w14:textId="77FAFA6C"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20</w:t>
            </w:r>
          </w:p>
        </w:tc>
        <w:tc>
          <w:tcPr>
            <w:tcW w:w="1735" w:type="dxa"/>
            <w:tcBorders>
              <w:top w:val="single" w:sz="4" w:space="0" w:color="auto"/>
              <w:left w:val="single" w:sz="4" w:space="0" w:color="auto"/>
              <w:bottom w:val="single" w:sz="4" w:space="0" w:color="auto"/>
              <w:right w:val="single" w:sz="4" w:space="0" w:color="auto"/>
            </w:tcBorders>
          </w:tcPr>
          <w:p w14:paraId="3CD25A66" w14:textId="7265FF7C"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0</w:t>
            </w:r>
          </w:p>
        </w:tc>
        <w:tc>
          <w:tcPr>
            <w:tcW w:w="1383" w:type="dxa"/>
            <w:tcBorders>
              <w:top w:val="single" w:sz="4" w:space="0" w:color="auto"/>
              <w:left w:val="single" w:sz="4" w:space="0" w:color="auto"/>
              <w:bottom w:val="single" w:sz="4" w:space="0" w:color="auto"/>
              <w:right w:val="single" w:sz="4" w:space="0" w:color="auto"/>
            </w:tcBorders>
          </w:tcPr>
          <w:p w14:paraId="6CE2CB9A" w14:textId="4E073ACC"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80</w:t>
            </w:r>
          </w:p>
        </w:tc>
        <w:tc>
          <w:tcPr>
            <w:tcW w:w="1557" w:type="dxa"/>
            <w:tcBorders>
              <w:top w:val="single" w:sz="4" w:space="0" w:color="auto"/>
              <w:left w:val="single" w:sz="4" w:space="0" w:color="auto"/>
              <w:bottom w:val="single" w:sz="4" w:space="0" w:color="auto"/>
              <w:right w:val="single" w:sz="4" w:space="0" w:color="auto"/>
            </w:tcBorders>
          </w:tcPr>
          <w:p w14:paraId="53A9B6E6" w14:textId="06677C9B"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стабільна</w:t>
            </w:r>
          </w:p>
        </w:tc>
      </w:tr>
      <w:tr w:rsidR="00732127" w14:paraId="2494AA99" w14:textId="77777777" w:rsidTr="00732127">
        <w:trPr>
          <w:trHeight w:val="317"/>
        </w:trPr>
        <w:tc>
          <w:tcPr>
            <w:tcW w:w="921" w:type="dxa"/>
            <w:tcBorders>
              <w:top w:val="single" w:sz="4" w:space="0" w:color="auto"/>
              <w:left w:val="single" w:sz="4" w:space="0" w:color="auto"/>
              <w:bottom w:val="single" w:sz="4" w:space="0" w:color="auto"/>
              <w:right w:val="single" w:sz="4" w:space="0" w:color="auto"/>
            </w:tcBorders>
            <w:hideMark/>
          </w:tcPr>
          <w:p w14:paraId="48BC32AC" w14:textId="3B6C65A3"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w:t>
            </w:r>
          </w:p>
        </w:tc>
        <w:tc>
          <w:tcPr>
            <w:tcW w:w="1315" w:type="dxa"/>
            <w:tcBorders>
              <w:top w:val="single" w:sz="4" w:space="0" w:color="auto"/>
              <w:left w:val="single" w:sz="4" w:space="0" w:color="auto"/>
              <w:bottom w:val="single" w:sz="4" w:space="0" w:color="auto"/>
              <w:right w:val="single" w:sz="4" w:space="0" w:color="auto"/>
            </w:tcBorders>
            <w:hideMark/>
          </w:tcPr>
          <w:p w14:paraId="76F0C2AD" w14:textId="070FC272"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46</w:t>
            </w:r>
          </w:p>
        </w:tc>
        <w:tc>
          <w:tcPr>
            <w:tcW w:w="1488" w:type="dxa"/>
            <w:tcBorders>
              <w:top w:val="single" w:sz="4" w:space="0" w:color="auto"/>
              <w:left w:val="single" w:sz="4" w:space="0" w:color="auto"/>
              <w:bottom w:val="single" w:sz="4" w:space="0" w:color="auto"/>
              <w:right w:val="single" w:sz="4" w:space="0" w:color="auto"/>
            </w:tcBorders>
            <w:hideMark/>
          </w:tcPr>
          <w:p w14:paraId="0D697105" w14:textId="4E0D4232"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34</w:t>
            </w:r>
          </w:p>
        </w:tc>
        <w:tc>
          <w:tcPr>
            <w:tcW w:w="1377" w:type="dxa"/>
            <w:tcBorders>
              <w:top w:val="single" w:sz="4" w:space="0" w:color="auto"/>
              <w:left w:val="single" w:sz="4" w:space="0" w:color="auto"/>
              <w:bottom w:val="single" w:sz="4" w:space="0" w:color="auto"/>
              <w:right w:val="single" w:sz="4" w:space="0" w:color="auto"/>
            </w:tcBorders>
            <w:hideMark/>
          </w:tcPr>
          <w:p w14:paraId="21217E32" w14:textId="4758F0E4"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20</w:t>
            </w:r>
          </w:p>
        </w:tc>
        <w:tc>
          <w:tcPr>
            <w:tcW w:w="1735" w:type="dxa"/>
            <w:tcBorders>
              <w:top w:val="single" w:sz="4" w:space="0" w:color="auto"/>
              <w:left w:val="single" w:sz="4" w:space="0" w:color="auto"/>
              <w:bottom w:val="single" w:sz="4" w:space="0" w:color="auto"/>
              <w:right w:val="single" w:sz="4" w:space="0" w:color="auto"/>
            </w:tcBorders>
            <w:hideMark/>
          </w:tcPr>
          <w:p w14:paraId="1CF3128B" w14:textId="33C056D4"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0</w:t>
            </w:r>
          </w:p>
        </w:tc>
        <w:tc>
          <w:tcPr>
            <w:tcW w:w="1383" w:type="dxa"/>
            <w:tcBorders>
              <w:top w:val="single" w:sz="4" w:space="0" w:color="auto"/>
              <w:left w:val="single" w:sz="4" w:space="0" w:color="auto"/>
              <w:bottom w:val="single" w:sz="4" w:space="0" w:color="auto"/>
              <w:right w:val="single" w:sz="4" w:space="0" w:color="auto"/>
            </w:tcBorders>
            <w:hideMark/>
          </w:tcPr>
          <w:p w14:paraId="341B11D3" w14:textId="64785951"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80</w:t>
            </w:r>
          </w:p>
        </w:tc>
        <w:tc>
          <w:tcPr>
            <w:tcW w:w="1557" w:type="dxa"/>
            <w:tcBorders>
              <w:top w:val="single" w:sz="4" w:space="0" w:color="auto"/>
              <w:left w:val="single" w:sz="4" w:space="0" w:color="auto"/>
              <w:bottom w:val="single" w:sz="4" w:space="0" w:color="auto"/>
              <w:right w:val="single" w:sz="4" w:space="0" w:color="auto"/>
            </w:tcBorders>
            <w:hideMark/>
          </w:tcPr>
          <w:p w14:paraId="0D878F64" w14:textId="4E083410"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позитивна</w:t>
            </w:r>
          </w:p>
        </w:tc>
      </w:tr>
      <w:tr w:rsidR="00732127" w14:paraId="12A495DD" w14:textId="77777777" w:rsidTr="00732127">
        <w:trPr>
          <w:trHeight w:val="317"/>
        </w:trPr>
        <w:tc>
          <w:tcPr>
            <w:tcW w:w="921" w:type="dxa"/>
            <w:tcBorders>
              <w:top w:val="single" w:sz="4" w:space="0" w:color="auto"/>
              <w:left w:val="single" w:sz="4" w:space="0" w:color="auto"/>
              <w:bottom w:val="single" w:sz="4" w:space="0" w:color="auto"/>
              <w:right w:val="single" w:sz="4" w:space="0" w:color="auto"/>
            </w:tcBorders>
            <w:hideMark/>
          </w:tcPr>
          <w:p w14:paraId="76617D0E" w14:textId="50B39CC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9</w:t>
            </w:r>
          </w:p>
        </w:tc>
        <w:tc>
          <w:tcPr>
            <w:tcW w:w="1315" w:type="dxa"/>
            <w:tcBorders>
              <w:top w:val="single" w:sz="4" w:space="0" w:color="auto"/>
              <w:left w:val="single" w:sz="4" w:space="0" w:color="auto"/>
              <w:bottom w:val="single" w:sz="4" w:space="0" w:color="auto"/>
              <w:right w:val="single" w:sz="4" w:space="0" w:color="auto"/>
            </w:tcBorders>
          </w:tcPr>
          <w:p w14:paraId="15077B3F" w14:textId="1592D15E"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50</w:t>
            </w:r>
          </w:p>
        </w:tc>
        <w:tc>
          <w:tcPr>
            <w:tcW w:w="1488" w:type="dxa"/>
            <w:tcBorders>
              <w:top w:val="single" w:sz="4" w:space="0" w:color="auto"/>
              <w:left w:val="single" w:sz="4" w:space="0" w:color="auto"/>
              <w:bottom w:val="single" w:sz="4" w:space="0" w:color="auto"/>
              <w:right w:val="single" w:sz="4" w:space="0" w:color="auto"/>
            </w:tcBorders>
          </w:tcPr>
          <w:p w14:paraId="5B0FEEC9" w14:textId="3C76D0C6"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35</w:t>
            </w:r>
          </w:p>
        </w:tc>
        <w:tc>
          <w:tcPr>
            <w:tcW w:w="1377" w:type="dxa"/>
            <w:tcBorders>
              <w:top w:val="single" w:sz="4" w:space="0" w:color="auto"/>
              <w:left w:val="single" w:sz="4" w:space="0" w:color="auto"/>
              <w:bottom w:val="single" w:sz="4" w:space="0" w:color="auto"/>
              <w:right w:val="single" w:sz="4" w:space="0" w:color="auto"/>
            </w:tcBorders>
          </w:tcPr>
          <w:p w14:paraId="0D487921" w14:textId="35341CA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15</w:t>
            </w:r>
          </w:p>
        </w:tc>
        <w:tc>
          <w:tcPr>
            <w:tcW w:w="1735" w:type="dxa"/>
            <w:tcBorders>
              <w:top w:val="single" w:sz="4" w:space="0" w:color="auto"/>
              <w:left w:val="single" w:sz="4" w:space="0" w:color="auto"/>
              <w:bottom w:val="single" w:sz="4" w:space="0" w:color="auto"/>
              <w:right w:val="single" w:sz="4" w:space="0" w:color="auto"/>
            </w:tcBorders>
          </w:tcPr>
          <w:p w14:paraId="305B8DE1" w14:textId="2B3C6C58"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0</w:t>
            </w:r>
          </w:p>
        </w:tc>
        <w:tc>
          <w:tcPr>
            <w:tcW w:w="1383" w:type="dxa"/>
            <w:tcBorders>
              <w:top w:val="single" w:sz="4" w:space="0" w:color="auto"/>
              <w:left w:val="single" w:sz="4" w:space="0" w:color="auto"/>
              <w:bottom w:val="single" w:sz="4" w:space="0" w:color="auto"/>
              <w:right w:val="single" w:sz="4" w:space="0" w:color="auto"/>
            </w:tcBorders>
          </w:tcPr>
          <w:p w14:paraId="435EAEA1" w14:textId="4815237E"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85</w:t>
            </w:r>
          </w:p>
        </w:tc>
        <w:tc>
          <w:tcPr>
            <w:tcW w:w="1557" w:type="dxa"/>
            <w:tcBorders>
              <w:top w:val="single" w:sz="4" w:space="0" w:color="auto"/>
              <w:left w:val="single" w:sz="4" w:space="0" w:color="auto"/>
              <w:bottom w:val="single" w:sz="4" w:space="0" w:color="auto"/>
              <w:right w:val="single" w:sz="4" w:space="0" w:color="auto"/>
            </w:tcBorders>
          </w:tcPr>
          <w:p w14:paraId="225E31AE" w14:textId="6DFF631A" w:rsidR="00732127" w:rsidRPr="00732127" w:rsidRDefault="00732127" w:rsidP="00732127">
            <w:pPr>
              <w:jc w:val="both"/>
              <w:rPr>
                <w:rFonts w:ascii="Times New Roman" w:hAnsi="Times New Roman" w:cs="Times New Roman"/>
                <w:sz w:val="28"/>
                <w:szCs w:val="28"/>
              </w:rPr>
            </w:pPr>
            <w:r w:rsidRPr="00732127">
              <w:rPr>
                <w:rFonts w:ascii="Times New Roman" w:hAnsi="Times New Roman" w:cs="Times New Roman"/>
                <w:sz w:val="28"/>
                <w:szCs w:val="28"/>
              </w:rPr>
              <w:t>позитивна</w:t>
            </w:r>
          </w:p>
        </w:tc>
      </w:tr>
    </w:tbl>
    <w:p w14:paraId="76C6A00A" w14:textId="77777777" w:rsidR="00732127" w:rsidRDefault="00732127" w:rsidP="00732127">
      <w:pPr>
        <w:spacing w:after="0" w:line="240" w:lineRule="auto"/>
        <w:ind w:firstLine="708"/>
        <w:jc w:val="both"/>
        <w:rPr>
          <w:rFonts w:ascii="Times New Roman" w:hAnsi="Times New Roman" w:cs="Times New Roman"/>
          <w:sz w:val="28"/>
          <w:szCs w:val="28"/>
        </w:rPr>
      </w:pPr>
    </w:p>
    <w:p w14:paraId="4F991EBF" w14:textId="13FD482D" w:rsidR="00732127" w:rsidRPr="00732127" w:rsidRDefault="00732127" w:rsidP="00732127">
      <w:pPr>
        <w:spacing w:after="0" w:line="240" w:lineRule="auto"/>
        <w:ind w:firstLine="708"/>
        <w:jc w:val="both"/>
        <w:rPr>
          <w:rFonts w:ascii="Times New Roman" w:hAnsi="Times New Roman" w:cs="Times New Roman"/>
          <w:sz w:val="28"/>
          <w:szCs w:val="28"/>
        </w:rPr>
      </w:pPr>
      <w:r w:rsidRPr="00732127">
        <w:rPr>
          <w:rFonts w:ascii="Times New Roman" w:hAnsi="Times New Roman" w:cs="Times New Roman"/>
          <w:sz w:val="28"/>
          <w:szCs w:val="28"/>
        </w:rPr>
        <w:t>За результатами проведеного контролю результатів та якості зафіксовано певну неоднорідність освітніх досягнень учнів. Найвищі результати навчання спостерігаються з предметів мистецького циклу, технологій та трудового навчання, інформатики, фізичної культури, основ правознавства та основ здоров'я. Найвищі результати демонструють учні 9 класу, що пояснюється їхньою вищою самостійністю та мотивацією, пов'язаною з підготовкою до продовження навчання. Натомість нижчі результати спостерігаються в учнів 5 класу, які перебувають на етапі адаптації до навчання в базовій школі та потребують додаткової підтримки у формуванні навчальної самостійності.</w:t>
      </w:r>
    </w:p>
    <w:p w14:paraId="403D56E9" w14:textId="77777777" w:rsidR="00732127" w:rsidRPr="00732127" w:rsidRDefault="00732127" w:rsidP="00732127">
      <w:pPr>
        <w:spacing w:after="0" w:line="240" w:lineRule="auto"/>
        <w:jc w:val="both"/>
        <w:rPr>
          <w:rFonts w:ascii="Times New Roman" w:hAnsi="Times New Roman" w:cs="Times New Roman"/>
          <w:sz w:val="28"/>
          <w:szCs w:val="28"/>
        </w:rPr>
      </w:pPr>
      <w:r w:rsidRPr="00732127">
        <w:rPr>
          <w:rFonts w:ascii="Times New Roman" w:hAnsi="Times New Roman" w:cs="Times New Roman"/>
          <w:sz w:val="28"/>
          <w:szCs w:val="28"/>
        </w:rPr>
        <w:t xml:space="preserve">У порівнянні з І семестром простежується загальна тенденція до підвищення якості навчання учнів. Якісний показник зріс з 74% до 78%, а середній показник навченості підвищився з 8,0 до 10,08 </w:t>
      </w:r>
      <w:proofErr w:type="spellStart"/>
      <w:r w:rsidRPr="00732127">
        <w:rPr>
          <w:rFonts w:ascii="Times New Roman" w:hAnsi="Times New Roman" w:cs="Times New Roman"/>
          <w:sz w:val="28"/>
          <w:szCs w:val="28"/>
        </w:rPr>
        <w:t>бала</w:t>
      </w:r>
      <w:proofErr w:type="spellEnd"/>
      <w:r w:rsidRPr="00732127">
        <w:rPr>
          <w:rFonts w:ascii="Times New Roman" w:hAnsi="Times New Roman" w:cs="Times New Roman"/>
          <w:sz w:val="28"/>
          <w:szCs w:val="28"/>
        </w:rPr>
        <w:t>. Водночас вплив воєнного стану, часті повітряні тривоги, психологічне навантаження та окремі випадки дистанційного навчання продовжують негативно впливати на освітній процес та рівень навчальних досягнень окремих учнів.</w:t>
      </w:r>
    </w:p>
    <w:p w14:paraId="0C3BF41A" w14:textId="77777777" w:rsidR="00732127" w:rsidRPr="00732127" w:rsidRDefault="00732127" w:rsidP="00732127">
      <w:pPr>
        <w:spacing w:after="0" w:line="240" w:lineRule="auto"/>
        <w:ind w:firstLine="708"/>
        <w:jc w:val="both"/>
        <w:rPr>
          <w:rFonts w:ascii="Times New Roman" w:hAnsi="Times New Roman" w:cs="Times New Roman"/>
          <w:sz w:val="28"/>
          <w:szCs w:val="28"/>
        </w:rPr>
      </w:pPr>
      <w:r w:rsidRPr="00732127">
        <w:rPr>
          <w:rFonts w:ascii="Times New Roman" w:hAnsi="Times New Roman" w:cs="Times New Roman"/>
          <w:sz w:val="28"/>
          <w:szCs w:val="28"/>
        </w:rPr>
        <w:t>Особливої уваги потребують учні, які демонструють нестійкі результати навчання та мають труднощі із самостійною організацією навчальної діяльності. Спостерігається потреба у подальшому розвитку навичок самостійної роботи, читацької грамотності, критичного мислення та вміння застосовувати набуті знання у практичних ситуаціях. Аналіз результатів також засвідчив нерівномірність навчальних досягнень між окремими класами та групами учнів.</w:t>
      </w:r>
    </w:p>
    <w:p w14:paraId="7310398C" w14:textId="77777777" w:rsidR="00732127" w:rsidRPr="00732127" w:rsidRDefault="00732127" w:rsidP="00732127">
      <w:pPr>
        <w:spacing w:after="0" w:line="240" w:lineRule="auto"/>
        <w:jc w:val="both"/>
        <w:rPr>
          <w:rFonts w:ascii="Times New Roman" w:hAnsi="Times New Roman" w:cs="Times New Roman"/>
          <w:sz w:val="28"/>
          <w:szCs w:val="28"/>
        </w:rPr>
      </w:pPr>
      <w:r w:rsidRPr="00732127">
        <w:rPr>
          <w:rFonts w:ascii="Times New Roman" w:hAnsi="Times New Roman" w:cs="Times New Roman"/>
          <w:sz w:val="28"/>
          <w:szCs w:val="28"/>
        </w:rPr>
        <w:t>Для корекції освітньої діяльності необхідно посилити індивідуалізацію навчання, впроваджувати індивідуальні освітні траєкторії для учнів, які мають труднощі у навчанні, а також забезпечити належний супровід обдарованих учнів під час підготовки до олімпіад, конкурсів та інтелектуальних змагань. Важливо продовжити практику додаткових консультацій, коригувальних занять, активніше використовувати можливості формувального оцінювання та поглиблювати співпрацю з батьками щодо підвищення відповідальності за результати навчання дітей.</w:t>
      </w:r>
    </w:p>
    <w:p w14:paraId="687E02FF" w14:textId="77777777" w:rsidR="004642C5" w:rsidRDefault="004642C5" w:rsidP="004642C5">
      <w:pPr>
        <w:spacing w:after="0" w:line="240" w:lineRule="auto"/>
        <w:jc w:val="both"/>
        <w:rPr>
          <w:rFonts w:ascii="Times New Roman" w:hAnsi="Times New Roman" w:cs="Times New Roman"/>
          <w:sz w:val="28"/>
          <w:szCs w:val="28"/>
        </w:rPr>
      </w:pPr>
    </w:p>
    <w:p w14:paraId="4545D09F"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НАКАЗУЮ:</w:t>
      </w:r>
    </w:p>
    <w:p w14:paraId="22613164" w14:textId="77777777" w:rsidR="004642C5" w:rsidRDefault="004642C5" w:rsidP="004642C5">
      <w:pPr>
        <w:spacing w:after="0" w:line="240" w:lineRule="auto"/>
        <w:jc w:val="both"/>
        <w:rPr>
          <w:rFonts w:ascii="Times New Roman" w:hAnsi="Times New Roman" w:cs="Times New Roman"/>
          <w:sz w:val="28"/>
          <w:szCs w:val="28"/>
        </w:rPr>
      </w:pPr>
    </w:p>
    <w:p w14:paraId="05B083B3" w14:textId="77777777" w:rsidR="001F637C"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B0079B" w:rsidRPr="00B0079B">
        <w:t xml:space="preserve"> </w:t>
      </w:r>
      <w:r w:rsidR="00B0079B" w:rsidRPr="00B0079B">
        <w:rPr>
          <w:rFonts w:ascii="Times New Roman" w:hAnsi="Times New Roman" w:cs="Times New Roman"/>
          <w:sz w:val="28"/>
          <w:szCs w:val="28"/>
        </w:rPr>
        <w:t>Визнати стан досягнення учнями результатів навчання, визначених державними стандартами повної загальної середньої освіти</w:t>
      </w:r>
      <w:r w:rsidR="001F637C">
        <w:rPr>
          <w:rFonts w:ascii="Times New Roman" w:hAnsi="Times New Roman" w:cs="Times New Roman"/>
          <w:sz w:val="28"/>
          <w:szCs w:val="28"/>
        </w:rPr>
        <w:t>, задовільними.</w:t>
      </w:r>
    </w:p>
    <w:p w14:paraId="5FB9309C"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4642C5">
        <w:rPr>
          <w:rFonts w:ascii="Times New Roman" w:hAnsi="Times New Roman" w:cs="Times New Roman"/>
          <w:sz w:val="28"/>
          <w:szCs w:val="28"/>
        </w:rPr>
        <w:t>Учителям-</w:t>
      </w:r>
      <w:proofErr w:type="spellStart"/>
      <w:r w:rsidR="004642C5">
        <w:rPr>
          <w:rFonts w:ascii="Times New Roman" w:hAnsi="Times New Roman" w:cs="Times New Roman"/>
          <w:sz w:val="28"/>
          <w:szCs w:val="28"/>
        </w:rPr>
        <w:t>предметникам</w:t>
      </w:r>
      <w:proofErr w:type="spellEnd"/>
      <w:r w:rsidR="004642C5">
        <w:rPr>
          <w:rFonts w:ascii="Times New Roman" w:hAnsi="Times New Roman" w:cs="Times New Roman"/>
          <w:sz w:val="28"/>
          <w:szCs w:val="28"/>
        </w:rPr>
        <w:t>:</w:t>
      </w:r>
    </w:p>
    <w:p w14:paraId="5E8AAE8E"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642C5">
        <w:rPr>
          <w:rFonts w:ascii="Times New Roman" w:hAnsi="Times New Roman" w:cs="Times New Roman"/>
          <w:sz w:val="28"/>
          <w:szCs w:val="28"/>
        </w:rPr>
        <w:t>.1. Забезпечити індивідуальну та диференційовану роботу з учнями, що мають початковий рівень навчальних досягнень, розробивши індивідуальні освітні траєкторії.</w:t>
      </w:r>
    </w:p>
    <w:p w14:paraId="09576E48"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2026/2027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w:t>
      </w:r>
    </w:p>
    <w:p w14:paraId="7A2E7AD2"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642C5">
        <w:rPr>
          <w:rFonts w:ascii="Times New Roman" w:hAnsi="Times New Roman" w:cs="Times New Roman"/>
          <w:sz w:val="28"/>
          <w:szCs w:val="28"/>
        </w:rPr>
        <w:t>.2. Використовувати сучасні освітні ресурси, додатки, платформи застосовувати формувальне оцінювання</w:t>
      </w:r>
      <w:r w:rsidR="006A342B" w:rsidRPr="006A342B">
        <w:rPr>
          <w:rFonts w:ascii="Times New Roman" w:hAnsi="Times New Roman" w:cs="Times New Roman"/>
          <w:sz w:val="28"/>
          <w:szCs w:val="28"/>
        </w:rPr>
        <w:t xml:space="preserve"> для своєчасного коригування освітнього процесу.</w:t>
      </w:r>
    </w:p>
    <w:p w14:paraId="642AD31B"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Постійно</w:t>
      </w:r>
    </w:p>
    <w:p w14:paraId="59F1A6B9"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642C5">
        <w:rPr>
          <w:rFonts w:ascii="Times New Roman" w:hAnsi="Times New Roman" w:cs="Times New Roman"/>
          <w:sz w:val="28"/>
          <w:szCs w:val="28"/>
        </w:rPr>
        <w:t>.3. Запровадити індивідуальний супровід учнів з початковим та високим рівнем знань,  здійснювати підготовку учнів до олімпіад, конкурсів.</w:t>
      </w:r>
    </w:p>
    <w:p w14:paraId="2695E0F9"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2026/2027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w:t>
      </w:r>
    </w:p>
    <w:p w14:paraId="5EE47B29" w14:textId="77777777" w:rsidR="00654F60" w:rsidRDefault="00654F60"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2.4. </w:t>
      </w:r>
      <w:r w:rsidRPr="00654F60">
        <w:rPr>
          <w:rFonts w:ascii="Times New Roman" w:hAnsi="Times New Roman" w:cs="Times New Roman"/>
          <w:sz w:val="28"/>
          <w:szCs w:val="28"/>
        </w:rPr>
        <w:t>Забезпечити системний контроль за виконанням заходів щодо підвищення якості освіти.</w:t>
      </w:r>
    </w:p>
    <w:p w14:paraId="7E55B167" w14:textId="77777777" w:rsidR="00654F60" w:rsidRDefault="00654F60"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Постійно</w:t>
      </w:r>
    </w:p>
    <w:p w14:paraId="3883B0A2"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642C5">
        <w:rPr>
          <w:rFonts w:ascii="Times New Roman" w:hAnsi="Times New Roman" w:cs="Times New Roman"/>
          <w:sz w:val="28"/>
          <w:szCs w:val="28"/>
        </w:rPr>
        <w:t>. Класним керівникам</w:t>
      </w:r>
    </w:p>
    <w:p w14:paraId="2F1C0634"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642C5">
        <w:rPr>
          <w:rFonts w:ascii="Times New Roman" w:hAnsi="Times New Roman" w:cs="Times New Roman"/>
          <w:sz w:val="28"/>
          <w:szCs w:val="28"/>
        </w:rPr>
        <w:t>.1. Посилити роботу з батьками щодо зменшення пропусків уроків учнями.</w:t>
      </w:r>
    </w:p>
    <w:p w14:paraId="6126BA14"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2026/2027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 xml:space="preserve">.                     </w:t>
      </w:r>
    </w:p>
    <w:p w14:paraId="25BD6C28"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642C5">
        <w:rPr>
          <w:rFonts w:ascii="Times New Roman" w:hAnsi="Times New Roman" w:cs="Times New Roman"/>
          <w:sz w:val="28"/>
          <w:szCs w:val="28"/>
        </w:rPr>
        <w:t>.2. Організувати додаткові консультації для учнів, які мають труднощі в навчанні.</w:t>
      </w:r>
    </w:p>
    <w:p w14:paraId="6EEAFAAB"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 канікулярний час      </w:t>
      </w:r>
    </w:p>
    <w:p w14:paraId="479F5E8B" w14:textId="77777777" w:rsidR="006A342B" w:rsidRDefault="006A342B" w:rsidP="006A342B">
      <w:pPr>
        <w:spacing w:after="0" w:line="240" w:lineRule="auto"/>
        <w:rPr>
          <w:rFonts w:ascii="Times New Roman" w:hAnsi="Times New Roman" w:cs="Times New Roman"/>
          <w:sz w:val="28"/>
          <w:szCs w:val="28"/>
        </w:rPr>
      </w:pPr>
      <w:r>
        <w:rPr>
          <w:rFonts w:ascii="Times New Roman" w:hAnsi="Times New Roman" w:cs="Times New Roman"/>
          <w:sz w:val="28"/>
          <w:szCs w:val="28"/>
        </w:rPr>
        <w:t>3.3</w:t>
      </w:r>
      <w:r w:rsidRPr="00307A50">
        <w:rPr>
          <w:rFonts w:ascii="Times New Roman" w:hAnsi="Times New Roman" w:cs="Times New Roman"/>
          <w:sz w:val="28"/>
          <w:szCs w:val="28"/>
        </w:rPr>
        <w:t>. Посилити співпрацю з батьками щодо створення належних умов для навчання дітей.</w:t>
      </w:r>
    </w:p>
    <w:p w14:paraId="47FACE0A" w14:textId="77777777" w:rsidR="006A342B" w:rsidRPr="00307A50" w:rsidRDefault="006A342B" w:rsidP="006A34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2026/2027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w:t>
      </w:r>
    </w:p>
    <w:p w14:paraId="7BBF43C6" w14:textId="77777777" w:rsidR="006A342B" w:rsidRPr="00307A50" w:rsidRDefault="006A342B" w:rsidP="006A342B">
      <w:pPr>
        <w:spacing w:after="0" w:line="240" w:lineRule="auto"/>
        <w:rPr>
          <w:rFonts w:ascii="Times New Roman" w:hAnsi="Times New Roman" w:cs="Times New Roman"/>
          <w:sz w:val="28"/>
          <w:szCs w:val="28"/>
        </w:rPr>
      </w:pPr>
      <w:r>
        <w:rPr>
          <w:rFonts w:ascii="Times New Roman" w:hAnsi="Times New Roman" w:cs="Times New Roman"/>
          <w:sz w:val="28"/>
          <w:szCs w:val="28"/>
        </w:rPr>
        <w:t>3.4.</w:t>
      </w:r>
      <w:r w:rsidRPr="00307A50">
        <w:rPr>
          <w:rFonts w:ascii="Times New Roman" w:hAnsi="Times New Roman" w:cs="Times New Roman"/>
          <w:sz w:val="28"/>
          <w:szCs w:val="28"/>
        </w:rPr>
        <w:t xml:space="preserve"> Сприяти підвищенню мотивації учнів до навчання та розвитку навичок самоосвіти.</w:t>
      </w:r>
    </w:p>
    <w:p w14:paraId="73980394" w14:textId="77777777" w:rsidR="006A342B" w:rsidRPr="00307A50" w:rsidRDefault="007220D9" w:rsidP="006A34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Постійно</w:t>
      </w:r>
    </w:p>
    <w:p w14:paraId="29CE4053"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642C5">
        <w:rPr>
          <w:rFonts w:ascii="Times New Roman" w:hAnsi="Times New Roman" w:cs="Times New Roman"/>
          <w:sz w:val="28"/>
          <w:szCs w:val="28"/>
        </w:rPr>
        <w:t>. Практичному психологу:</w:t>
      </w:r>
    </w:p>
    <w:p w14:paraId="688677DB"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642C5">
        <w:rPr>
          <w:rFonts w:ascii="Times New Roman" w:hAnsi="Times New Roman" w:cs="Times New Roman"/>
          <w:sz w:val="28"/>
          <w:szCs w:val="28"/>
        </w:rPr>
        <w:t>.1. Провести діагностику пізнавальних та емоційно-вольових особливостей учнів, у яких спостерігається зниження навчальних результатів.</w:t>
      </w:r>
    </w:p>
    <w:p w14:paraId="09B1063F"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Вересень</w:t>
      </w:r>
    </w:p>
    <w:p w14:paraId="674951C3"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642C5">
        <w:rPr>
          <w:rFonts w:ascii="Times New Roman" w:hAnsi="Times New Roman" w:cs="Times New Roman"/>
          <w:sz w:val="28"/>
          <w:szCs w:val="28"/>
        </w:rPr>
        <w:t>.2. Надати рекомендації педагогам щодо роботи з учнями групи ризику.</w:t>
      </w:r>
    </w:p>
    <w:p w14:paraId="02D28C7F"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Вересень </w:t>
      </w:r>
    </w:p>
    <w:p w14:paraId="626491C4" w14:textId="77777777" w:rsidR="004642C5" w:rsidRDefault="001F637C"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4642C5">
        <w:rPr>
          <w:rFonts w:ascii="Times New Roman" w:hAnsi="Times New Roman" w:cs="Times New Roman"/>
          <w:sz w:val="28"/>
          <w:szCs w:val="28"/>
        </w:rPr>
        <w:t>. Контроль за виконанням наказу залишаю за собою.</w:t>
      </w:r>
    </w:p>
    <w:p w14:paraId="4738FDCC" w14:textId="77777777" w:rsidR="004642C5" w:rsidRDefault="004642C5" w:rsidP="004642C5">
      <w:pPr>
        <w:spacing w:after="0" w:line="240" w:lineRule="auto"/>
        <w:jc w:val="both"/>
        <w:rPr>
          <w:rFonts w:ascii="Times New Roman" w:hAnsi="Times New Roman" w:cs="Times New Roman"/>
          <w:sz w:val="28"/>
          <w:szCs w:val="28"/>
        </w:rPr>
      </w:pPr>
    </w:p>
    <w:p w14:paraId="706D53AC" w14:textId="77777777" w:rsidR="004642C5" w:rsidRDefault="004642C5" w:rsidP="004642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w:t>
      </w:r>
    </w:p>
    <w:p w14:paraId="2D2FE226" w14:textId="77777777" w:rsidR="004642C5" w:rsidRDefault="004642C5" w:rsidP="004642C5">
      <w:pPr>
        <w:spacing w:after="0" w:line="240" w:lineRule="auto"/>
        <w:jc w:val="both"/>
        <w:rPr>
          <w:rFonts w:ascii="Times New Roman" w:hAnsi="Times New Roman" w:cs="Times New Roman"/>
          <w:sz w:val="28"/>
          <w:szCs w:val="28"/>
        </w:rPr>
      </w:pPr>
    </w:p>
    <w:p w14:paraId="21039E9A" w14:textId="77777777" w:rsidR="000E5884" w:rsidRPr="00307A50" w:rsidRDefault="004642C5" w:rsidP="00722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 наказом ознайомлені:</w:t>
      </w:r>
    </w:p>
    <w:sectPr w:rsidR="000E5884" w:rsidRPr="00307A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73"/>
    <w:rsid w:val="000E5884"/>
    <w:rsid w:val="001F637C"/>
    <w:rsid w:val="00307A50"/>
    <w:rsid w:val="004642C5"/>
    <w:rsid w:val="004801C6"/>
    <w:rsid w:val="005B1B2A"/>
    <w:rsid w:val="00654F60"/>
    <w:rsid w:val="00677CF1"/>
    <w:rsid w:val="006A342B"/>
    <w:rsid w:val="006F74EE"/>
    <w:rsid w:val="007220D9"/>
    <w:rsid w:val="00732127"/>
    <w:rsid w:val="007C7E71"/>
    <w:rsid w:val="009C539D"/>
    <w:rsid w:val="009E08C8"/>
    <w:rsid w:val="009E463B"/>
    <w:rsid w:val="00A64313"/>
    <w:rsid w:val="00B0079B"/>
    <w:rsid w:val="00CC2CB2"/>
    <w:rsid w:val="00E048C2"/>
    <w:rsid w:val="00EF42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ECC3"/>
  <w15:chartTrackingRefBased/>
  <w15:docId w15:val="{EC02C3FB-AC2A-4166-95C3-80471BA1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4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3162">
      <w:bodyDiv w:val="1"/>
      <w:marLeft w:val="0"/>
      <w:marRight w:val="0"/>
      <w:marTop w:val="0"/>
      <w:marBottom w:val="0"/>
      <w:divBdr>
        <w:top w:val="none" w:sz="0" w:space="0" w:color="auto"/>
        <w:left w:val="none" w:sz="0" w:space="0" w:color="auto"/>
        <w:bottom w:val="none" w:sz="0" w:space="0" w:color="auto"/>
        <w:right w:val="none" w:sz="0" w:space="0" w:color="auto"/>
      </w:divBdr>
    </w:div>
    <w:div w:id="154617098">
      <w:bodyDiv w:val="1"/>
      <w:marLeft w:val="0"/>
      <w:marRight w:val="0"/>
      <w:marTop w:val="0"/>
      <w:marBottom w:val="0"/>
      <w:divBdr>
        <w:top w:val="none" w:sz="0" w:space="0" w:color="auto"/>
        <w:left w:val="none" w:sz="0" w:space="0" w:color="auto"/>
        <w:bottom w:val="none" w:sz="0" w:space="0" w:color="auto"/>
        <w:right w:val="none" w:sz="0" w:space="0" w:color="auto"/>
      </w:divBdr>
    </w:div>
    <w:div w:id="92310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4837</Words>
  <Characters>2758</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Тетяна Топільницька</cp:lastModifiedBy>
  <cp:revision>2</cp:revision>
  <dcterms:created xsi:type="dcterms:W3CDTF">2026-06-10T05:48:00Z</dcterms:created>
  <dcterms:modified xsi:type="dcterms:W3CDTF">2026-06-10T05:48:00Z</dcterms:modified>
</cp:coreProperties>
</file>